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5C" w:rsidRPr="00DB5CB9" w:rsidRDefault="0010585C" w:rsidP="00E627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B71BF6" w:rsidRPr="007971EE" w:rsidRDefault="00E62736" w:rsidP="007971E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7971EE">
        <w:rPr>
          <w:rFonts w:ascii="Times New Roman" w:hAnsi="Times New Roman" w:cs="Times New Roman"/>
          <w:b/>
          <w:bCs/>
          <w:sz w:val="32"/>
          <w:szCs w:val="32"/>
        </w:rPr>
        <w:t>Liste des tableaux :</w:t>
      </w:r>
    </w:p>
    <w:p w:rsidR="003B0F8C" w:rsidRPr="00E62736" w:rsidRDefault="003B0F8C" w:rsidP="00E62736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B0F8C" w:rsidRPr="00A118CC" w:rsidRDefault="003B0F8C" w:rsidP="003B0F8C">
      <w:pPr>
        <w:spacing w:after="0" w:line="360" w:lineRule="auto"/>
        <w:outlineLvl w:val="0"/>
        <w:rPr>
          <w:rFonts w:asciiTheme="majorBidi" w:hAnsiTheme="majorBidi" w:cstheme="majorBidi"/>
          <w:bCs/>
          <w:szCs w:val="22"/>
        </w:rPr>
      </w:pPr>
      <w:r w:rsidRPr="00A118CC">
        <w:rPr>
          <w:rFonts w:asciiTheme="majorBidi" w:hAnsiTheme="majorBidi" w:cstheme="majorBidi"/>
          <w:bCs/>
          <w:szCs w:val="22"/>
        </w:rPr>
        <w:t>Tableau I.1</w:t>
      </w:r>
      <w:r w:rsidR="00755290" w:rsidRPr="00A118CC">
        <w:rPr>
          <w:rFonts w:asciiTheme="majorBidi" w:hAnsiTheme="majorBidi" w:cstheme="majorBidi"/>
          <w:bCs/>
          <w:szCs w:val="22"/>
        </w:rPr>
        <w:t>:</w:t>
      </w:r>
      <w:r w:rsidR="00755290">
        <w:rPr>
          <w:rFonts w:asciiTheme="majorBidi" w:hAnsiTheme="majorBidi" w:cstheme="majorBidi"/>
          <w:bCs/>
          <w:szCs w:val="22"/>
        </w:rPr>
        <w:t xml:space="preserve"> Relation</w:t>
      </w:r>
      <w:r w:rsidRPr="00A118CC">
        <w:rPr>
          <w:rFonts w:asciiTheme="majorBidi" w:hAnsiTheme="majorBidi" w:cstheme="majorBidi"/>
          <w:bCs/>
          <w:szCs w:val="22"/>
        </w:rPr>
        <w:t xml:space="preserve"> entre le gonflement libre et l’i</w:t>
      </w:r>
      <w:r>
        <w:rPr>
          <w:rFonts w:asciiTheme="majorBidi" w:hAnsiTheme="majorBidi" w:cstheme="majorBidi"/>
          <w:bCs/>
          <w:szCs w:val="22"/>
        </w:rPr>
        <w:t>ndice de plasticité (Seed et al</w:t>
      </w:r>
      <w:r w:rsidRPr="00A118CC">
        <w:rPr>
          <w:rFonts w:asciiTheme="majorBidi" w:hAnsiTheme="majorBidi" w:cstheme="majorBidi"/>
          <w:bCs/>
          <w:szCs w:val="22"/>
        </w:rPr>
        <w:t>, 1962</w:t>
      </w:r>
      <w:r w:rsidRPr="00A118CC">
        <w:rPr>
          <w:rFonts w:asciiTheme="majorBidi" w:hAnsiTheme="majorBidi" w:cstheme="majorBidi"/>
          <w:bCs/>
          <w:i/>
          <w:iCs/>
          <w:spacing w:val="-3"/>
          <w:w w:val="105"/>
          <w:szCs w:val="22"/>
        </w:rPr>
        <w:t>).</w:t>
      </w:r>
    </w:p>
    <w:p w:rsidR="003B0F8C" w:rsidRPr="00A118CC" w:rsidRDefault="003B0F8C" w:rsidP="003B0F8C">
      <w:pPr>
        <w:spacing w:after="0" w:line="360" w:lineRule="auto"/>
        <w:ind w:right="144"/>
        <w:contextualSpacing/>
        <w:outlineLvl w:val="0"/>
        <w:rPr>
          <w:rFonts w:asciiTheme="majorBidi" w:hAnsiTheme="majorBidi" w:cstheme="majorBidi"/>
          <w:bCs/>
          <w:szCs w:val="22"/>
        </w:rPr>
      </w:pPr>
      <w:r w:rsidRPr="00A118CC">
        <w:rPr>
          <w:rFonts w:asciiTheme="majorBidi" w:hAnsiTheme="majorBidi" w:cstheme="majorBidi"/>
          <w:bCs/>
          <w:szCs w:val="22"/>
        </w:rPr>
        <w:t>Tableau I.2 : Potentiel de gonflement d’après le Building Research</w:t>
      </w:r>
      <w:r w:rsidR="007971EE">
        <w:rPr>
          <w:rFonts w:asciiTheme="majorBidi" w:hAnsiTheme="majorBidi" w:cstheme="majorBidi"/>
          <w:bCs/>
          <w:szCs w:val="22"/>
        </w:rPr>
        <w:t xml:space="preserve"> </w:t>
      </w:r>
      <w:r w:rsidRPr="00A118CC">
        <w:rPr>
          <w:rFonts w:asciiTheme="majorBidi" w:hAnsiTheme="majorBidi" w:cstheme="majorBidi"/>
          <w:bCs/>
          <w:szCs w:val="22"/>
        </w:rPr>
        <w:t>Etablishment BRE (1980).</w:t>
      </w:r>
    </w:p>
    <w:p w:rsidR="003B0F8C" w:rsidRPr="00A118CC" w:rsidRDefault="003B0F8C" w:rsidP="003B0F8C">
      <w:pPr>
        <w:autoSpaceDE w:val="0"/>
        <w:autoSpaceDN w:val="0"/>
        <w:adjustRightInd w:val="0"/>
        <w:spacing w:after="0" w:line="360" w:lineRule="auto"/>
        <w:outlineLvl w:val="0"/>
        <w:rPr>
          <w:rFonts w:asciiTheme="majorBidi" w:hAnsiTheme="majorBidi" w:cstheme="majorBidi"/>
          <w:bCs/>
          <w:szCs w:val="22"/>
        </w:rPr>
      </w:pPr>
      <w:r w:rsidRPr="00A118CC">
        <w:rPr>
          <w:rFonts w:asciiTheme="majorBidi" w:hAnsiTheme="majorBidi" w:cstheme="majorBidi"/>
          <w:bCs/>
          <w:szCs w:val="22"/>
        </w:rPr>
        <w:t>Tableau I.3 : Potentiel de gonflement (Chen, 1998).</w:t>
      </w:r>
    </w:p>
    <w:p w:rsidR="007971EE" w:rsidRDefault="003B0F8C" w:rsidP="003B0F8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Cs/>
          <w:szCs w:val="22"/>
        </w:rPr>
      </w:pPr>
      <w:r w:rsidRPr="00A118CC">
        <w:rPr>
          <w:rFonts w:asciiTheme="majorBidi" w:hAnsiTheme="majorBidi" w:cstheme="majorBidi"/>
          <w:bCs/>
          <w:szCs w:val="22"/>
        </w:rPr>
        <w:t>Tableau I.4 : Valeurs indicatives pour les sols susceptibles de variation de volume</w:t>
      </w:r>
    </w:p>
    <w:p w:rsidR="003B0F8C" w:rsidRPr="00A118CC" w:rsidRDefault="003B0F8C" w:rsidP="007971EE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Cs/>
          <w:szCs w:val="22"/>
        </w:rPr>
      </w:pPr>
      <w:r w:rsidRPr="00A118CC">
        <w:rPr>
          <w:rFonts w:asciiTheme="majorBidi" w:hAnsiTheme="majorBidi" w:cstheme="majorBidi"/>
          <w:bCs/>
          <w:szCs w:val="22"/>
        </w:rPr>
        <w:t xml:space="preserve"> </w:t>
      </w:r>
      <w:r w:rsidR="007971EE">
        <w:rPr>
          <w:rFonts w:asciiTheme="majorBidi" w:hAnsiTheme="majorBidi" w:cstheme="majorBidi"/>
          <w:bCs/>
          <w:szCs w:val="22"/>
        </w:rPr>
        <w:t xml:space="preserve">                    </w:t>
      </w:r>
      <w:r w:rsidRPr="00A118CC">
        <w:rPr>
          <w:rFonts w:asciiTheme="majorBidi" w:hAnsiTheme="majorBidi" w:cstheme="majorBidi"/>
          <w:bCs/>
          <w:szCs w:val="22"/>
        </w:rPr>
        <w:t xml:space="preserve">(Bigot et Zerhouni, 2000).                      </w:t>
      </w:r>
    </w:p>
    <w:p w:rsidR="00755290" w:rsidRDefault="003B0F8C" w:rsidP="003B0F8C">
      <w:pPr>
        <w:spacing w:after="0" w:line="360" w:lineRule="auto"/>
        <w:rPr>
          <w:rFonts w:asciiTheme="majorBidi" w:hAnsiTheme="majorBidi" w:cstheme="majorBidi"/>
          <w:bCs/>
          <w:szCs w:val="22"/>
        </w:rPr>
      </w:pPr>
      <w:r w:rsidRPr="00A118CC">
        <w:rPr>
          <w:rFonts w:asciiTheme="majorBidi" w:hAnsiTheme="majorBidi" w:cstheme="majorBidi"/>
          <w:bCs/>
          <w:szCs w:val="22"/>
        </w:rPr>
        <w:t>Tableau I.5 : Modèles empiriques de calcul du taux de gonflement (ε</w:t>
      </w:r>
      <w:r w:rsidRPr="00A118CC">
        <w:rPr>
          <w:rFonts w:asciiTheme="majorBidi" w:hAnsiTheme="majorBidi" w:cstheme="majorBidi"/>
          <w:bCs/>
          <w:position w:val="-4"/>
          <w:szCs w:val="22"/>
          <w:vertAlign w:val="subscript"/>
        </w:rPr>
        <w:t>g</w:t>
      </w:r>
      <w:r w:rsidRPr="00A118CC">
        <w:rPr>
          <w:rFonts w:asciiTheme="majorBidi" w:hAnsiTheme="majorBidi" w:cstheme="majorBidi"/>
          <w:bCs/>
          <w:szCs w:val="22"/>
        </w:rPr>
        <w:t xml:space="preserve">) et de la pression de </w:t>
      </w:r>
    </w:p>
    <w:p w:rsidR="003B0F8C" w:rsidRPr="00A118CC" w:rsidRDefault="00755290" w:rsidP="003B0F8C">
      <w:pPr>
        <w:spacing w:after="0" w:line="360" w:lineRule="auto"/>
        <w:rPr>
          <w:rFonts w:asciiTheme="majorBidi" w:hAnsiTheme="majorBidi" w:cstheme="majorBidi"/>
          <w:bCs/>
          <w:szCs w:val="22"/>
        </w:rPr>
      </w:pPr>
      <w:r>
        <w:rPr>
          <w:rFonts w:asciiTheme="majorBidi" w:hAnsiTheme="majorBidi" w:cstheme="majorBidi"/>
          <w:bCs/>
          <w:szCs w:val="22"/>
        </w:rPr>
        <w:t xml:space="preserve">                     </w:t>
      </w:r>
      <w:r w:rsidR="003B0F8C" w:rsidRPr="00A118CC">
        <w:rPr>
          <w:rFonts w:asciiTheme="majorBidi" w:hAnsiTheme="majorBidi" w:cstheme="majorBidi"/>
          <w:bCs/>
          <w:szCs w:val="22"/>
        </w:rPr>
        <w:t>gonflement (σ</w:t>
      </w:r>
      <w:r w:rsidR="003B0F8C" w:rsidRPr="00A118CC">
        <w:rPr>
          <w:rFonts w:asciiTheme="majorBidi" w:hAnsiTheme="majorBidi" w:cstheme="majorBidi"/>
          <w:bCs/>
          <w:position w:val="-4"/>
          <w:szCs w:val="22"/>
          <w:vertAlign w:val="subscript"/>
        </w:rPr>
        <w:t>g</w:t>
      </w:r>
      <w:r w:rsidR="003B0F8C" w:rsidRPr="00A118CC">
        <w:rPr>
          <w:rFonts w:asciiTheme="majorBidi" w:hAnsiTheme="majorBidi" w:cstheme="majorBidi"/>
          <w:bCs/>
          <w:szCs w:val="22"/>
        </w:rPr>
        <w:t>).</w:t>
      </w:r>
    </w:p>
    <w:p w:rsidR="00C80D1B" w:rsidRDefault="003B0F8C" w:rsidP="003B0F8C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/>
        </w:rPr>
      </w:pPr>
      <w:r w:rsidRPr="00A118CC">
        <w:rPr>
          <w:rFonts w:ascii="Times New Roman" w:hAnsi="Times New Roman"/>
        </w:rPr>
        <w:t>Tableau I.6 : Pourcentage des éléments chimiques du ciment.</w:t>
      </w:r>
    </w:p>
    <w:p w:rsidR="00C80D1B" w:rsidRPr="006E6B18" w:rsidRDefault="00C80D1B" w:rsidP="007971EE">
      <w:pPr>
        <w:spacing w:after="0" w:line="360" w:lineRule="auto"/>
        <w:outlineLvl w:val="0"/>
        <w:rPr>
          <w:rFonts w:ascii="Times New Roman" w:hAnsi="Times New Roman" w:cstheme="majorBidi"/>
        </w:rPr>
      </w:pPr>
      <w:r w:rsidRPr="006E6B18">
        <w:rPr>
          <w:rFonts w:ascii="Times New Roman" w:hAnsi="Times New Roman" w:cstheme="majorBidi"/>
        </w:rPr>
        <w:t xml:space="preserve">Tableau III.1 : </w:t>
      </w:r>
      <w:r w:rsidR="007971EE">
        <w:rPr>
          <w:rFonts w:ascii="Times New Roman" w:hAnsi="Times New Roman" w:cstheme="majorBidi"/>
        </w:rPr>
        <w:t>R</w:t>
      </w:r>
      <w:r w:rsidRPr="006E6B18">
        <w:rPr>
          <w:rFonts w:ascii="Times New Roman" w:hAnsi="Times New Roman" w:cstheme="majorBidi"/>
        </w:rPr>
        <w:t>ésultats des paramètres d’état.</w:t>
      </w:r>
    </w:p>
    <w:p w:rsidR="00C80D1B" w:rsidRPr="006E6B18" w:rsidRDefault="00C80D1B" w:rsidP="007971EE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theme="majorBidi"/>
        </w:rPr>
      </w:pPr>
      <w:bookmarkStart w:id="1" w:name="_Toc326771056"/>
      <w:bookmarkStart w:id="2" w:name="_Toc326771253"/>
      <w:r w:rsidRPr="006E6B18">
        <w:rPr>
          <w:rFonts w:ascii="Times New Roman" w:hAnsi="Times New Roman" w:cstheme="majorBidi"/>
        </w:rPr>
        <w:t xml:space="preserve">Tableau III.2 : </w:t>
      </w:r>
      <w:r w:rsidR="007971EE">
        <w:rPr>
          <w:rFonts w:ascii="Times New Roman" w:hAnsi="Times New Roman" w:cstheme="majorBidi"/>
        </w:rPr>
        <w:t>R</w:t>
      </w:r>
      <w:r w:rsidRPr="006E6B18">
        <w:rPr>
          <w:rFonts w:ascii="Times New Roman" w:hAnsi="Times New Roman" w:cstheme="majorBidi"/>
        </w:rPr>
        <w:t>ésultats des essais analyse granulométrique.</w:t>
      </w:r>
      <w:bookmarkEnd w:id="1"/>
      <w:bookmarkEnd w:id="2"/>
    </w:p>
    <w:p w:rsidR="00C80D1B" w:rsidRPr="006E6B18" w:rsidRDefault="00C80D1B" w:rsidP="007971EE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3" w:name="_Toc326771058"/>
      <w:bookmarkStart w:id="4" w:name="_Toc326771255"/>
      <w:r w:rsidRPr="006E6B18">
        <w:rPr>
          <w:rFonts w:ascii="Times New Roman" w:hAnsi="Times New Roman" w:cstheme="majorBidi"/>
        </w:rPr>
        <w:t>Tableau III.3</w:t>
      </w:r>
      <w:r w:rsidR="00755290">
        <w:rPr>
          <w:rFonts w:ascii="Times New Roman" w:hAnsi="Times New Roman" w:cstheme="majorBidi"/>
        </w:rPr>
        <w:t xml:space="preserve"> : </w:t>
      </w:r>
      <w:r w:rsidR="007971EE">
        <w:rPr>
          <w:rFonts w:ascii="Times New Roman" w:hAnsi="Times New Roman" w:cstheme="majorBidi"/>
        </w:rPr>
        <w:t>R</w:t>
      </w:r>
      <w:r w:rsidRPr="006E6B18">
        <w:rPr>
          <w:rFonts w:ascii="Times New Roman" w:hAnsi="Times New Roman" w:cstheme="majorBidi"/>
        </w:rPr>
        <w:t>ésultats des essais de limites d’Atterberg</w:t>
      </w:r>
      <w:bookmarkEnd w:id="3"/>
      <w:bookmarkEnd w:id="4"/>
    </w:p>
    <w:p w:rsidR="00C80D1B" w:rsidRPr="006E6B18" w:rsidRDefault="00C80D1B" w:rsidP="00C80D1B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5" w:name="_Toc326771061"/>
      <w:bookmarkStart w:id="6" w:name="_Toc326771258"/>
      <w:r w:rsidRPr="006E6B18">
        <w:rPr>
          <w:rFonts w:ascii="Times New Roman" w:hAnsi="Times New Roman" w:cstheme="majorBidi"/>
          <w:bCs/>
        </w:rPr>
        <w:t xml:space="preserve">Tableau III.4 : Résultats de </w:t>
      </w:r>
      <w:r w:rsidRPr="006E6B18">
        <w:rPr>
          <w:rFonts w:ascii="Times New Roman" w:hAnsi="Times New Roman" w:cstheme="majorBidi"/>
        </w:rPr>
        <w:t>l’essai au bleu de méthylène.</w:t>
      </w:r>
      <w:bookmarkEnd w:id="5"/>
      <w:bookmarkEnd w:id="6"/>
    </w:p>
    <w:p w:rsidR="00C80D1B" w:rsidRPr="006E6B18" w:rsidRDefault="00C80D1B" w:rsidP="00C80D1B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7" w:name="_Toc326771062"/>
      <w:bookmarkStart w:id="8" w:name="_Toc326771259"/>
      <w:r w:rsidRPr="006E6B18">
        <w:rPr>
          <w:rFonts w:ascii="Times New Roman" w:hAnsi="Times New Roman" w:cstheme="majorBidi"/>
        </w:rPr>
        <w:t>Tableau III.5 : Résultat des essais de fragmentabilité.</w:t>
      </w:r>
      <w:bookmarkEnd w:id="7"/>
      <w:bookmarkEnd w:id="8"/>
      <w:r w:rsidRPr="006E6B18">
        <w:rPr>
          <w:rFonts w:ascii="Times New Roman" w:hAnsi="Times New Roman" w:cstheme="majorBidi"/>
        </w:rPr>
        <w:t xml:space="preserve"> </w:t>
      </w:r>
    </w:p>
    <w:p w:rsidR="00C80D1B" w:rsidRPr="006E6B18" w:rsidRDefault="00C80D1B" w:rsidP="00C80D1B">
      <w:pPr>
        <w:tabs>
          <w:tab w:val="left" w:pos="4140"/>
        </w:tabs>
        <w:spacing w:after="0" w:line="360" w:lineRule="auto"/>
        <w:outlineLvl w:val="0"/>
        <w:rPr>
          <w:rFonts w:ascii="Times New Roman" w:hAnsi="Times New Roman" w:cstheme="majorBidi"/>
        </w:rPr>
      </w:pPr>
      <w:bookmarkStart w:id="9" w:name="_Toc326771065"/>
      <w:bookmarkStart w:id="10" w:name="_Toc326771262"/>
      <w:r w:rsidRPr="006E6B18">
        <w:rPr>
          <w:rFonts w:ascii="Times New Roman" w:hAnsi="Times New Roman" w:cstheme="majorBidi"/>
        </w:rPr>
        <w:t>Tableau III.6</w:t>
      </w:r>
      <w:proofErr w:type="gramStart"/>
      <w:r w:rsidRPr="006E6B18">
        <w:rPr>
          <w:rFonts w:ascii="Times New Roman" w:hAnsi="Times New Roman" w:cstheme="majorBidi"/>
        </w:rPr>
        <w:t xml:space="preserve">: </w:t>
      </w:r>
      <w:r w:rsidR="00755290">
        <w:rPr>
          <w:rFonts w:ascii="Times New Roman" w:hAnsi="Times New Roman" w:cstheme="majorBidi"/>
        </w:rPr>
        <w:t xml:space="preserve"> </w:t>
      </w:r>
      <w:r w:rsidRPr="006E6B18">
        <w:rPr>
          <w:rFonts w:ascii="Times New Roman" w:hAnsi="Times New Roman" w:cstheme="majorBidi"/>
        </w:rPr>
        <w:t>Résultats</w:t>
      </w:r>
      <w:proofErr w:type="gramEnd"/>
      <w:r w:rsidRPr="006E6B18">
        <w:rPr>
          <w:rFonts w:ascii="Times New Roman" w:hAnsi="Times New Roman" w:cstheme="majorBidi"/>
        </w:rPr>
        <w:t xml:space="preserve"> du coefficient de fragmentabilité.</w:t>
      </w:r>
      <w:bookmarkEnd w:id="9"/>
      <w:bookmarkEnd w:id="10"/>
    </w:p>
    <w:p w:rsidR="00C80D1B" w:rsidRPr="006E6B18" w:rsidRDefault="00C80D1B" w:rsidP="00C80D1B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11" w:name="_Toc326771066"/>
      <w:bookmarkStart w:id="12" w:name="_Toc326771263"/>
      <w:r w:rsidRPr="006E6B18">
        <w:rPr>
          <w:rFonts w:ascii="Times New Roman" w:hAnsi="Times New Roman" w:cstheme="majorBidi"/>
        </w:rPr>
        <w:t>Tableau III.7 : Résultats des essais de dégradabilité.</w:t>
      </w:r>
      <w:bookmarkEnd w:id="11"/>
      <w:bookmarkEnd w:id="12"/>
      <w:r w:rsidRPr="006E6B18">
        <w:rPr>
          <w:rFonts w:ascii="Times New Roman" w:hAnsi="Times New Roman" w:cstheme="majorBidi"/>
        </w:rPr>
        <w:t xml:space="preserve">   </w:t>
      </w:r>
      <w:bookmarkStart w:id="13" w:name="_Toc326771067"/>
      <w:bookmarkStart w:id="14" w:name="_Toc326771264"/>
    </w:p>
    <w:p w:rsidR="00C80D1B" w:rsidRPr="006E6B18" w:rsidRDefault="00C80D1B" w:rsidP="00C80D1B">
      <w:pPr>
        <w:spacing w:after="0" w:line="360" w:lineRule="auto"/>
        <w:outlineLvl w:val="0"/>
        <w:rPr>
          <w:rFonts w:ascii="Times New Roman" w:hAnsi="Times New Roman" w:cstheme="majorBidi"/>
          <w:bCs/>
        </w:rPr>
      </w:pPr>
      <w:bookmarkStart w:id="15" w:name="_Toc326771068"/>
      <w:bookmarkStart w:id="16" w:name="_Toc326771265"/>
      <w:bookmarkEnd w:id="13"/>
      <w:bookmarkEnd w:id="14"/>
      <w:r w:rsidRPr="006E6B18">
        <w:rPr>
          <w:rFonts w:ascii="Times New Roman" w:hAnsi="Times New Roman" w:cstheme="majorBidi"/>
        </w:rPr>
        <w:t>Tableau III.8 :</w:t>
      </w:r>
      <w:r w:rsidRPr="006E6B18">
        <w:rPr>
          <w:rFonts w:ascii="Times New Roman" w:hAnsi="Times New Roman" w:cstheme="majorBidi"/>
          <w:bCs/>
        </w:rPr>
        <w:t xml:space="preserve"> Résultats du coefficient de dégradabilité.</w:t>
      </w:r>
      <w:bookmarkEnd w:id="15"/>
      <w:bookmarkEnd w:id="16"/>
    </w:p>
    <w:p w:rsidR="00C80D1B" w:rsidRPr="006E6B18" w:rsidRDefault="00C80D1B" w:rsidP="00C80D1B">
      <w:pPr>
        <w:tabs>
          <w:tab w:val="left" w:pos="570"/>
        </w:tabs>
        <w:spacing w:after="0" w:line="360" w:lineRule="auto"/>
        <w:outlineLvl w:val="0"/>
        <w:rPr>
          <w:rFonts w:ascii="Times New Roman" w:hAnsi="Times New Roman" w:cstheme="majorBidi"/>
          <w:bCs/>
        </w:rPr>
      </w:pPr>
      <w:bookmarkStart w:id="17" w:name="_Toc326771069"/>
      <w:bookmarkStart w:id="18" w:name="_Toc326771266"/>
      <w:r w:rsidRPr="006E6B18">
        <w:rPr>
          <w:rFonts w:ascii="Times New Roman" w:hAnsi="Times New Roman" w:cstheme="majorBidi"/>
          <w:bCs/>
        </w:rPr>
        <w:t>Tableau ІIІ.9 : Caractéristiques d’identification du sol témoin étudie.</w:t>
      </w:r>
      <w:bookmarkEnd w:id="17"/>
      <w:bookmarkEnd w:id="18"/>
    </w:p>
    <w:p w:rsidR="00C80D1B" w:rsidRPr="006E6B18" w:rsidRDefault="00C80D1B" w:rsidP="00C80D1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theme="majorBidi"/>
        </w:rPr>
      </w:pPr>
      <w:bookmarkStart w:id="19" w:name="_Toc326771072"/>
      <w:bookmarkStart w:id="20" w:name="_Toc326771269"/>
      <w:r w:rsidRPr="006E6B18">
        <w:rPr>
          <w:rFonts w:ascii="Times New Roman" w:hAnsi="Times New Roman" w:cstheme="majorBidi"/>
          <w:bCs/>
        </w:rPr>
        <w:t>Tableau III.10 :</w:t>
      </w:r>
      <w:r w:rsidRPr="006E6B18">
        <w:rPr>
          <w:rFonts w:ascii="Times New Roman" w:hAnsi="Times New Roman" w:cstheme="majorBidi"/>
        </w:rPr>
        <w:t xml:space="preserve"> Masses volumiques sèches et teneurs a eau du sol témoin.</w:t>
      </w:r>
      <w:bookmarkStart w:id="21" w:name="_Toc326771073"/>
      <w:bookmarkStart w:id="22" w:name="_Toc326771270"/>
      <w:bookmarkEnd w:id="19"/>
      <w:bookmarkEnd w:id="20"/>
    </w:p>
    <w:p w:rsidR="00C80D1B" w:rsidRPr="006E6B18" w:rsidRDefault="00C80D1B" w:rsidP="00C80D1B">
      <w:pPr>
        <w:tabs>
          <w:tab w:val="left" w:pos="570"/>
        </w:tabs>
        <w:spacing w:after="0" w:line="360" w:lineRule="auto"/>
        <w:outlineLvl w:val="0"/>
        <w:rPr>
          <w:rFonts w:ascii="Times New Roman" w:hAnsi="Times New Roman" w:cstheme="majorBidi"/>
          <w:bCs/>
        </w:rPr>
      </w:pPr>
      <w:bookmarkStart w:id="23" w:name="_Toc326771074"/>
      <w:bookmarkStart w:id="24" w:name="_Toc326771271"/>
      <w:bookmarkEnd w:id="21"/>
      <w:bookmarkEnd w:id="22"/>
      <w:r w:rsidRPr="006E6B18">
        <w:rPr>
          <w:rFonts w:ascii="Times New Roman" w:hAnsi="Times New Roman" w:cstheme="majorBidi"/>
        </w:rPr>
        <w:t xml:space="preserve">Tableau III.11 : </w:t>
      </w:r>
      <w:r w:rsidRPr="006E6B18">
        <w:rPr>
          <w:rFonts w:ascii="Times New Roman" w:hAnsi="Times New Roman" w:cstheme="majorBidi"/>
          <w:bCs/>
        </w:rPr>
        <w:t>Récapitulation l’essai proctor normal.</w:t>
      </w:r>
      <w:bookmarkEnd w:id="23"/>
      <w:bookmarkEnd w:id="24"/>
    </w:p>
    <w:p w:rsidR="00C80D1B" w:rsidRPr="006E6B18" w:rsidRDefault="00C80D1B" w:rsidP="00C80D1B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25" w:name="_Toc326771075"/>
      <w:bookmarkStart w:id="26" w:name="_Toc326771272"/>
      <w:r w:rsidRPr="006E6B18">
        <w:rPr>
          <w:rFonts w:ascii="Times New Roman" w:hAnsi="Times New Roman" w:cstheme="majorBidi"/>
        </w:rPr>
        <w:t>Tableau III.12 : Forces de pénétration  en fonction des enfoncements.</w:t>
      </w:r>
      <w:bookmarkEnd w:id="25"/>
      <w:bookmarkEnd w:id="26"/>
    </w:p>
    <w:p w:rsidR="00C80D1B" w:rsidRPr="006E6B18" w:rsidRDefault="00C80D1B" w:rsidP="00C80D1B">
      <w:pPr>
        <w:spacing w:after="0" w:line="360" w:lineRule="auto"/>
        <w:rPr>
          <w:rFonts w:ascii="Times New Roman" w:hAnsi="Times New Roman" w:cstheme="majorBidi"/>
        </w:rPr>
      </w:pPr>
      <w:r w:rsidRPr="006E6B18">
        <w:rPr>
          <w:rFonts w:ascii="Times New Roman" w:hAnsi="Times New Roman" w:cstheme="majorBidi"/>
        </w:rPr>
        <w:t>Tableau III.13: Valeurs de l’indice C.B.R. immédiat.</w:t>
      </w:r>
    </w:p>
    <w:p w:rsidR="00C80D1B" w:rsidRPr="006E6B18" w:rsidRDefault="00C80D1B" w:rsidP="00C80D1B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27" w:name="_Toc326771076"/>
      <w:bookmarkStart w:id="28" w:name="_Toc326771273"/>
      <w:r w:rsidRPr="006E6B18">
        <w:rPr>
          <w:rFonts w:ascii="Times New Roman" w:hAnsi="Times New Roman" w:cstheme="majorBidi"/>
        </w:rPr>
        <w:t>Tableau III.14: Valeur du gonflement linéaire g (%) et la teneur en eau après imbibition</w:t>
      </w:r>
      <w:bookmarkEnd w:id="27"/>
      <w:bookmarkEnd w:id="28"/>
    </w:p>
    <w:p w:rsidR="00C80D1B" w:rsidRPr="006E6B18" w:rsidRDefault="00C80D1B" w:rsidP="00C80D1B">
      <w:pPr>
        <w:spacing w:after="0" w:line="360" w:lineRule="auto"/>
        <w:outlineLvl w:val="0"/>
        <w:rPr>
          <w:rFonts w:ascii="Times New Roman" w:hAnsi="Times New Roman" w:cstheme="majorBidi"/>
        </w:rPr>
      </w:pPr>
      <w:bookmarkStart w:id="29" w:name="_Toc326771077"/>
      <w:bookmarkStart w:id="30" w:name="_Toc326771274"/>
      <w:r w:rsidRPr="006E6B18">
        <w:rPr>
          <w:rFonts w:ascii="Times New Roman" w:hAnsi="Times New Roman" w:cstheme="majorBidi"/>
        </w:rPr>
        <w:t>Tableau III.15 : Forces de pénétration  en fonction des enfoncements.</w:t>
      </w:r>
      <w:bookmarkEnd w:id="29"/>
      <w:bookmarkEnd w:id="30"/>
    </w:p>
    <w:p w:rsidR="00C80D1B" w:rsidRPr="006E6B18" w:rsidRDefault="00C80D1B" w:rsidP="00C80D1B">
      <w:pPr>
        <w:spacing w:after="0" w:line="360" w:lineRule="auto"/>
        <w:rPr>
          <w:rFonts w:ascii="Times New Roman" w:hAnsi="Times New Roman" w:cstheme="majorBidi"/>
        </w:rPr>
      </w:pPr>
      <w:r w:rsidRPr="006E6B18">
        <w:rPr>
          <w:rFonts w:ascii="Times New Roman" w:hAnsi="Times New Roman" w:cstheme="majorBidi"/>
        </w:rPr>
        <w:t>Tableau III.16 : Valeurs de l’indice C.B.R. après immersion.</w:t>
      </w:r>
    </w:p>
    <w:p w:rsidR="00C80D1B" w:rsidRPr="006E6B18" w:rsidRDefault="00C80D1B" w:rsidP="007971EE">
      <w:pPr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 xml:space="preserve">Tableau III.17 : </w:t>
      </w:r>
      <w:r w:rsidR="007971EE">
        <w:rPr>
          <w:rFonts w:ascii="Times New Roman" w:hAnsi="Times New Roman" w:cstheme="majorBidi"/>
          <w:bCs/>
        </w:rPr>
        <w:t>R</w:t>
      </w:r>
      <w:r w:rsidRPr="006E6B18">
        <w:rPr>
          <w:rFonts w:ascii="Times New Roman" w:hAnsi="Times New Roman" w:cstheme="majorBidi"/>
          <w:bCs/>
        </w:rPr>
        <w:t>ésultats des essais de cisaillement de l’échantillon témoin.</w:t>
      </w:r>
    </w:p>
    <w:p w:rsidR="00C80D1B" w:rsidRPr="006E6B18" w:rsidRDefault="00C80D1B" w:rsidP="00755290">
      <w:pPr>
        <w:tabs>
          <w:tab w:val="left" w:pos="570"/>
        </w:tabs>
        <w:spacing w:after="0" w:line="360" w:lineRule="auto"/>
        <w:outlineLvl w:val="0"/>
        <w:rPr>
          <w:rFonts w:ascii="Times New Roman" w:eastAsia="Times New Roman" w:hAnsi="Times New Roman" w:cstheme="majorBidi"/>
          <w:bCs/>
        </w:rPr>
      </w:pPr>
      <w:bookmarkStart w:id="31" w:name="_Toc326566387"/>
      <w:bookmarkStart w:id="32" w:name="_Toc326566442"/>
      <w:bookmarkStart w:id="33" w:name="_Toc326771078"/>
      <w:bookmarkStart w:id="34" w:name="_Toc326771275"/>
      <w:r w:rsidRPr="006E6B18">
        <w:rPr>
          <w:rFonts w:ascii="Times New Roman" w:eastAsia="Times New Roman" w:hAnsi="Times New Roman" w:cstheme="majorBidi"/>
          <w:bCs/>
        </w:rPr>
        <w:t xml:space="preserve">Tableau ІII.18 : Résultats des essais de gonflement libre d’un échantillon </w:t>
      </w:r>
      <w:r w:rsidR="00755290">
        <w:rPr>
          <w:rFonts w:ascii="Times New Roman" w:eastAsia="Times New Roman" w:hAnsi="Times New Roman" w:cstheme="majorBidi"/>
          <w:bCs/>
        </w:rPr>
        <w:t>1</w:t>
      </w:r>
      <w:r w:rsidRPr="006E6B18">
        <w:rPr>
          <w:rFonts w:ascii="Times New Roman" w:eastAsia="Times New Roman" w:hAnsi="Times New Roman" w:cstheme="majorBidi"/>
          <w:bCs/>
        </w:rPr>
        <w:t xml:space="preserve"> et </w:t>
      </w:r>
      <w:r w:rsidR="00755290">
        <w:rPr>
          <w:rFonts w:ascii="Times New Roman" w:eastAsia="Times New Roman" w:hAnsi="Times New Roman" w:cstheme="majorBidi"/>
          <w:bCs/>
        </w:rPr>
        <w:t>2</w:t>
      </w:r>
      <w:r w:rsidRPr="006E6B18">
        <w:rPr>
          <w:rFonts w:ascii="Times New Roman" w:eastAsia="Times New Roman" w:hAnsi="Times New Roman" w:cstheme="majorBidi"/>
          <w:bCs/>
        </w:rPr>
        <w:t>.</w:t>
      </w:r>
      <w:bookmarkEnd w:id="31"/>
      <w:bookmarkEnd w:id="32"/>
      <w:bookmarkEnd w:id="33"/>
      <w:bookmarkEnd w:id="34"/>
    </w:p>
    <w:p w:rsidR="00C80D1B" w:rsidRPr="006E6B18" w:rsidRDefault="00C80D1B" w:rsidP="00C80D1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theme="majorBidi"/>
          <w:bCs/>
        </w:rPr>
      </w:pPr>
      <w:bookmarkStart w:id="35" w:name="_Toc326771082"/>
      <w:bookmarkStart w:id="36" w:name="_Toc326771279"/>
      <w:r w:rsidRPr="006E6B18">
        <w:rPr>
          <w:rFonts w:ascii="Times New Roman" w:hAnsi="Times New Roman" w:cstheme="majorBidi"/>
          <w:bCs/>
        </w:rPr>
        <w:t>Tableau III.19 : Bigot et Zerhouni (2000).</w:t>
      </w:r>
      <w:bookmarkStart w:id="37" w:name="_Toc326412694"/>
      <w:bookmarkStart w:id="38" w:name="_Toc326771083"/>
      <w:bookmarkStart w:id="39" w:name="_Toc326771280"/>
      <w:bookmarkEnd w:id="35"/>
      <w:bookmarkEnd w:id="36"/>
    </w:p>
    <w:p w:rsidR="00C80D1B" w:rsidRPr="006E6B18" w:rsidRDefault="00C80D1B" w:rsidP="00FF776E">
      <w:pPr>
        <w:autoSpaceDE w:val="0"/>
        <w:autoSpaceDN w:val="0"/>
        <w:adjustRightInd w:val="0"/>
        <w:outlineLvl w:val="0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Tableau III.20 : Potentiel de gonflement (Chen, 1998).</w:t>
      </w:r>
      <w:bookmarkStart w:id="40" w:name="_Toc326566385"/>
      <w:bookmarkStart w:id="41" w:name="_Toc326566440"/>
      <w:bookmarkStart w:id="42" w:name="_Toc326771084"/>
      <w:bookmarkStart w:id="43" w:name="_Toc326771281"/>
      <w:bookmarkEnd w:id="37"/>
      <w:bookmarkEnd w:id="38"/>
      <w:bookmarkEnd w:id="39"/>
    </w:p>
    <w:p w:rsidR="00C80D1B" w:rsidRPr="006E6B18" w:rsidRDefault="00C80D1B" w:rsidP="00FF776E">
      <w:r w:rsidRPr="006E6B18">
        <w:t xml:space="preserve">Tableau III.21: </w:t>
      </w:r>
      <w:r w:rsidRPr="00FF776E">
        <w:t>Classification</w:t>
      </w:r>
      <w:r w:rsidRPr="006E6B18">
        <w:t xml:space="preserve"> selon le potentiel de gonflement</w:t>
      </w:r>
      <w:bookmarkEnd w:id="40"/>
      <w:bookmarkEnd w:id="41"/>
      <w:bookmarkEnd w:id="42"/>
      <w:bookmarkEnd w:id="43"/>
      <w:r w:rsidRPr="006E6B18">
        <w:t xml:space="preserve"> </w:t>
      </w:r>
    </w:p>
    <w:p w:rsidR="00755290" w:rsidRDefault="00C80D1B" w:rsidP="00C80D1B">
      <w:pPr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lastRenderedPageBreak/>
        <w:t>Tableau III.22 : Valeurs des limites de liquidité, limite de plast</w:t>
      </w:r>
      <w:r w:rsidR="00755290">
        <w:rPr>
          <w:rFonts w:ascii="Times New Roman" w:hAnsi="Times New Roman" w:cstheme="majorBidi"/>
          <w:bCs/>
        </w:rPr>
        <w:t>icité et indice de plasticité e</w:t>
      </w:r>
    </w:p>
    <w:p w:rsidR="00C80D1B" w:rsidRPr="006E6B18" w:rsidRDefault="00755290" w:rsidP="00C80D1B">
      <w:pPr>
        <w:spacing w:after="0" w:line="360" w:lineRule="auto"/>
        <w:rPr>
          <w:rFonts w:ascii="Times New Roman" w:hAnsi="Times New Roman" w:cstheme="majorBidi"/>
          <w:bCs/>
        </w:rPr>
      </w:pPr>
      <w:r>
        <w:rPr>
          <w:rFonts w:ascii="Times New Roman" w:hAnsi="Times New Roman" w:cstheme="majorBidi"/>
          <w:bCs/>
        </w:rPr>
        <w:t xml:space="preserve">                          </w:t>
      </w:r>
      <w:r w:rsidR="00C80D1B" w:rsidRPr="006E6B18">
        <w:rPr>
          <w:rFonts w:ascii="Times New Roman" w:hAnsi="Times New Roman" w:cstheme="majorBidi"/>
          <w:bCs/>
        </w:rPr>
        <w:t xml:space="preserve"> </w:t>
      </w:r>
      <w:proofErr w:type="gramStart"/>
      <w:r w:rsidR="00C80D1B" w:rsidRPr="006E6B18">
        <w:rPr>
          <w:rFonts w:ascii="Times New Roman" w:hAnsi="Times New Roman" w:cstheme="majorBidi"/>
          <w:bCs/>
        </w:rPr>
        <w:t>fonction</w:t>
      </w:r>
      <w:proofErr w:type="gramEnd"/>
      <w:r w:rsidR="00C80D1B" w:rsidRPr="006E6B18">
        <w:rPr>
          <w:rFonts w:ascii="Times New Roman" w:hAnsi="Times New Roman" w:cstheme="majorBidi"/>
          <w:bCs/>
        </w:rPr>
        <w:t xml:space="preserve"> de la teneur en ciment</w:t>
      </w:r>
    </w:p>
    <w:p w:rsidR="00755290" w:rsidRDefault="00C80D1B" w:rsidP="00C80D1B">
      <w:pPr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Tableau III.23: Variation de la valeur de VBS  et la surface spécifique en fonction de la teneur en</w:t>
      </w:r>
    </w:p>
    <w:p w:rsidR="00C80D1B" w:rsidRPr="006E6B18" w:rsidRDefault="00755290" w:rsidP="00C80D1B">
      <w:pPr>
        <w:spacing w:after="0" w:line="360" w:lineRule="auto"/>
        <w:rPr>
          <w:rFonts w:ascii="Times New Roman" w:hAnsi="Times New Roman" w:cstheme="majorBidi"/>
          <w:bCs/>
          <w:lang w:eastAsia="fr-FR"/>
        </w:rPr>
      </w:pPr>
      <w:r>
        <w:rPr>
          <w:rFonts w:ascii="Times New Roman" w:hAnsi="Times New Roman" w:cstheme="majorBidi"/>
          <w:bCs/>
        </w:rPr>
        <w:t xml:space="preserve">                          </w:t>
      </w:r>
      <w:r w:rsidR="00C80D1B" w:rsidRPr="006E6B18">
        <w:rPr>
          <w:rFonts w:ascii="Times New Roman" w:hAnsi="Times New Roman" w:cstheme="majorBidi"/>
          <w:bCs/>
        </w:rPr>
        <w:t xml:space="preserve"> </w:t>
      </w:r>
      <w:proofErr w:type="gramStart"/>
      <w:r w:rsidR="00C80D1B" w:rsidRPr="006E6B18">
        <w:rPr>
          <w:rFonts w:ascii="Times New Roman" w:hAnsi="Times New Roman" w:cstheme="majorBidi"/>
          <w:bCs/>
        </w:rPr>
        <w:t>ciment</w:t>
      </w:r>
      <w:proofErr w:type="gramEnd"/>
      <w:r w:rsidR="00C80D1B" w:rsidRPr="006E6B18">
        <w:rPr>
          <w:rFonts w:ascii="Times New Roman" w:hAnsi="Times New Roman" w:cstheme="majorBidi"/>
          <w:bCs/>
        </w:rPr>
        <w:t>.</w:t>
      </w:r>
    </w:p>
    <w:p w:rsidR="00C80D1B" w:rsidRPr="006E6B18" w:rsidRDefault="00C80D1B" w:rsidP="00C80D1B">
      <w:pPr>
        <w:spacing w:after="0" w:line="360" w:lineRule="auto"/>
        <w:rPr>
          <w:rFonts w:ascii="Times New Roman" w:hAnsi="Times New Roman" w:cstheme="majorBidi"/>
          <w:bCs/>
          <w:szCs w:val="22"/>
        </w:rPr>
      </w:pPr>
      <w:r w:rsidRPr="006E6B18">
        <w:rPr>
          <w:rFonts w:ascii="Times New Roman" w:hAnsi="Times New Roman" w:cstheme="majorBidi"/>
          <w:bCs/>
        </w:rPr>
        <w:t>Tableau III.24</w:t>
      </w:r>
      <w:proofErr w:type="gramStart"/>
      <w:r w:rsidRPr="006E6B18">
        <w:rPr>
          <w:rFonts w:ascii="Times New Roman" w:hAnsi="Times New Roman" w:cstheme="majorBidi"/>
          <w:bCs/>
        </w:rPr>
        <w:t xml:space="preserve">: </w:t>
      </w:r>
      <w:r w:rsidR="00755290">
        <w:rPr>
          <w:rFonts w:ascii="Times New Roman" w:hAnsi="Times New Roman" w:cstheme="majorBidi"/>
          <w:bCs/>
        </w:rPr>
        <w:t xml:space="preserve"> </w:t>
      </w:r>
      <w:r w:rsidRPr="006E6B18">
        <w:rPr>
          <w:rFonts w:ascii="Times New Roman" w:hAnsi="Times New Roman" w:cstheme="majorBidi"/>
          <w:bCs/>
        </w:rPr>
        <w:t>Résultats</w:t>
      </w:r>
      <w:proofErr w:type="gramEnd"/>
      <w:r w:rsidRPr="006E6B18">
        <w:rPr>
          <w:rFonts w:ascii="Times New Roman" w:hAnsi="Times New Roman" w:cstheme="majorBidi"/>
          <w:bCs/>
        </w:rPr>
        <w:t xml:space="preserve"> des coefficients de fragmentabilité pour différentes teneurs en ciment.</w:t>
      </w:r>
    </w:p>
    <w:p w:rsidR="00C80D1B" w:rsidRPr="006E6B18" w:rsidRDefault="00C80D1B" w:rsidP="00C80D1B">
      <w:pPr>
        <w:spacing w:after="0" w:line="360" w:lineRule="auto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>Tableau III.25 : Résultats des coefficients de dégradabilité pour différentes teneurs en ciment.</w:t>
      </w:r>
    </w:p>
    <w:p w:rsidR="00755290" w:rsidRDefault="00C80D1B" w:rsidP="00C80D1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theme="majorBidi"/>
          <w:bCs/>
        </w:rPr>
      </w:pPr>
      <w:r w:rsidRPr="006E6B18">
        <w:rPr>
          <w:rFonts w:ascii="Times New Roman" w:hAnsi="Times New Roman" w:cstheme="majorBidi"/>
          <w:bCs/>
        </w:rPr>
        <w:t xml:space="preserve">Tableau III.26 : Récapitulatif des essais de proctor normal du sol traité à différentes teneurs en </w:t>
      </w:r>
      <w:r w:rsidR="00755290">
        <w:rPr>
          <w:rFonts w:ascii="Times New Roman" w:hAnsi="Times New Roman" w:cstheme="majorBidi"/>
          <w:bCs/>
        </w:rPr>
        <w:t xml:space="preserve">  </w:t>
      </w:r>
    </w:p>
    <w:p w:rsidR="003B0F8C" w:rsidRPr="00A118CC" w:rsidRDefault="00755290" w:rsidP="00C80D1B">
      <w:pPr>
        <w:autoSpaceDE w:val="0"/>
        <w:autoSpaceDN w:val="0"/>
        <w:adjustRightInd w:val="0"/>
        <w:spacing w:after="0" w:line="360" w:lineRule="auto"/>
        <w:outlineLvl w:val="0"/>
        <w:rPr>
          <w:rFonts w:asciiTheme="majorBidi" w:hAnsiTheme="majorBidi" w:cstheme="majorBidi"/>
          <w:bCs/>
        </w:rPr>
      </w:pPr>
      <w:r>
        <w:rPr>
          <w:rFonts w:ascii="Times New Roman" w:hAnsi="Times New Roman" w:cstheme="majorBidi"/>
          <w:bCs/>
        </w:rPr>
        <w:t xml:space="preserve">                          </w:t>
      </w:r>
      <w:proofErr w:type="gramStart"/>
      <w:r w:rsidR="00C80D1B" w:rsidRPr="006E6B18">
        <w:rPr>
          <w:rFonts w:ascii="Times New Roman" w:hAnsi="Times New Roman" w:cstheme="majorBidi"/>
          <w:bCs/>
        </w:rPr>
        <w:t>ciment</w:t>
      </w:r>
      <w:proofErr w:type="gramEnd"/>
      <w:r w:rsidR="00C80D1B" w:rsidRPr="006E6B18">
        <w:rPr>
          <w:rFonts w:ascii="Times New Roman" w:hAnsi="Times New Roman" w:cstheme="majorBidi"/>
          <w:bCs/>
        </w:rPr>
        <w:t>.</w:t>
      </w:r>
    </w:p>
    <w:p w:rsidR="00B404D9" w:rsidRPr="00DB5CB9" w:rsidRDefault="00B404D9" w:rsidP="00E62736">
      <w:pPr>
        <w:spacing w:after="0" w:line="360" w:lineRule="auto"/>
        <w:outlineLvl w:val="0"/>
        <w:rPr>
          <w:rFonts w:ascii="Times New Roman" w:hAnsi="Times New Roman" w:cs="Times New Roman"/>
          <w:bCs/>
        </w:rPr>
      </w:pPr>
    </w:p>
    <w:p w:rsidR="0010585C" w:rsidRPr="00DB5CB9" w:rsidRDefault="0010585C" w:rsidP="00E62736">
      <w:pPr>
        <w:pStyle w:val="Paragraphedeliste"/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23DE7" w:rsidRPr="00DB5CB9" w:rsidRDefault="00C23DE7" w:rsidP="00E62736">
      <w:pPr>
        <w:pStyle w:val="Paragraphedeliste"/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478C3" w:rsidRPr="00DB5CB9" w:rsidRDefault="004478C3" w:rsidP="00E62736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</w:rPr>
      </w:pPr>
    </w:p>
    <w:p w:rsidR="004478C3" w:rsidRPr="00DB5CB9" w:rsidRDefault="004478C3" w:rsidP="00E62736">
      <w:pPr>
        <w:spacing w:after="0" w:line="360" w:lineRule="auto"/>
        <w:ind w:left="-284"/>
        <w:outlineLvl w:val="0"/>
        <w:rPr>
          <w:rFonts w:ascii="Times New Roman" w:hAnsi="Times New Roman" w:cs="Times New Roman"/>
        </w:rPr>
      </w:pPr>
      <w:r w:rsidRPr="00DB5CB9">
        <w:rPr>
          <w:rFonts w:ascii="Times New Roman" w:hAnsi="Times New Roman" w:cs="Times New Roman"/>
        </w:rPr>
        <w:tab/>
      </w:r>
    </w:p>
    <w:p w:rsidR="004478C3" w:rsidRPr="00DB5CB9" w:rsidRDefault="004478C3" w:rsidP="00E62736">
      <w:pPr>
        <w:tabs>
          <w:tab w:val="left" w:pos="570"/>
        </w:tabs>
        <w:spacing w:after="0" w:line="360" w:lineRule="auto"/>
        <w:rPr>
          <w:rFonts w:ascii="Times New Roman" w:hAnsi="Times New Roman" w:cs="Times New Roman"/>
          <w:bCs/>
        </w:rPr>
      </w:pPr>
    </w:p>
    <w:p w:rsidR="004478C3" w:rsidRPr="00DB5CB9" w:rsidRDefault="004478C3" w:rsidP="00E62736">
      <w:pPr>
        <w:tabs>
          <w:tab w:val="left" w:pos="570"/>
        </w:tabs>
        <w:spacing w:after="0" w:line="360" w:lineRule="auto"/>
        <w:outlineLvl w:val="0"/>
        <w:rPr>
          <w:rFonts w:ascii="Times New Roman" w:hAnsi="Times New Roman" w:cs="Times New Roman"/>
          <w:bCs/>
        </w:rPr>
      </w:pPr>
    </w:p>
    <w:sectPr w:rsidR="004478C3" w:rsidRPr="00DB5CB9" w:rsidSect="00E62736">
      <w:footerReference w:type="default" r:id="rId9"/>
      <w:pgSz w:w="11900" w:h="16840"/>
      <w:pgMar w:top="1418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499" w:rsidRDefault="00812499" w:rsidP="00102C22">
      <w:pPr>
        <w:spacing w:after="0"/>
      </w:pPr>
      <w:r>
        <w:separator/>
      </w:r>
    </w:p>
  </w:endnote>
  <w:endnote w:type="continuationSeparator" w:id="0">
    <w:p w:rsidR="00812499" w:rsidRDefault="00812499" w:rsidP="00102C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8591"/>
      <w:docPartObj>
        <w:docPartGallery w:val="Page Numbers (Bottom of Page)"/>
        <w:docPartUnique/>
      </w:docPartObj>
    </w:sdtPr>
    <w:sdtEndPr/>
    <w:sdtContent>
      <w:p w:rsidR="00CC356C" w:rsidRDefault="00CC356C">
        <w:pPr>
          <w:pStyle w:val="Pieddepage"/>
          <w:jc w:val="center"/>
        </w:pPr>
      </w:p>
      <w:p w:rsidR="00CC356C" w:rsidRDefault="00812499">
        <w:pPr>
          <w:pStyle w:val="Pieddepage"/>
          <w:jc w:val="center"/>
        </w:pPr>
      </w:p>
    </w:sdtContent>
  </w:sdt>
  <w:p w:rsidR="00CC356C" w:rsidRDefault="00CC356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499" w:rsidRDefault="00812499" w:rsidP="00102C22">
      <w:pPr>
        <w:spacing w:after="0"/>
      </w:pPr>
      <w:r>
        <w:separator/>
      </w:r>
    </w:p>
  </w:footnote>
  <w:footnote w:type="continuationSeparator" w:id="0">
    <w:p w:rsidR="00812499" w:rsidRDefault="00812499" w:rsidP="00102C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586"/>
    <w:multiLevelType w:val="hybridMultilevel"/>
    <w:tmpl w:val="433473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24C9"/>
    <w:multiLevelType w:val="hybridMultilevel"/>
    <w:tmpl w:val="2B023BB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A37F6"/>
    <w:multiLevelType w:val="hybridMultilevel"/>
    <w:tmpl w:val="47D8888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48605C"/>
    <w:multiLevelType w:val="hybridMultilevel"/>
    <w:tmpl w:val="0D528288"/>
    <w:lvl w:ilvl="0" w:tplc="040C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4">
    <w:nsid w:val="25183546"/>
    <w:multiLevelType w:val="hybridMultilevel"/>
    <w:tmpl w:val="08027D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838DD"/>
    <w:multiLevelType w:val="hybridMultilevel"/>
    <w:tmpl w:val="8C74C9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E17FCA"/>
    <w:multiLevelType w:val="hybridMultilevel"/>
    <w:tmpl w:val="757237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B63DA"/>
    <w:multiLevelType w:val="hybridMultilevel"/>
    <w:tmpl w:val="76587A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D0ED5"/>
    <w:multiLevelType w:val="hybridMultilevel"/>
    <w:tmpl w:val="09541AE4"/>
    <w:lvl w:ilvl="0" w:tplc="2CFE71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A04812"/>
    <w:multiLevelType w:val="hybridMultilevel"/>
    <w:tmpl w:val="576680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5335E"/>
    <w:multiLevelType w:val="hybridMultilevel"/>
    <w:tmpl w:val="A404E1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660326"/>
    <w:multiLevelType w:val="hybridMultilevel"/>
    <w:tmpl w:val="483EE1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555AAC"/>
    <w:multiLevelType w:val="hybridMultilevel"/>
    <w:tmpl w:val="869457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27DE3"/>
    <w:multiLevelType w:val="hybridMultilevel"/>
    <w:tmpl w:val="6C22D6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686196"/>
    <w:multiLevelType w:val="hybridMultilevel"/>
    <w:tmpl w:val="166EE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B5253D"/>
    <w:multiLevelType w:val="hybridMultilevel"/>
    <w:tmpl w:val="4BF442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DB7D24"/>
    <w:multiLevelType w:val="hybridMultilevel"/>
    <w:tmpl w:val="C0BED06C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B0A3B74"/>
    <w:multiLevelType w:val="hybridMultilevel"/>
    <w:tmpl w:val="56207634"/>
    <w:lvl w:ilvl="0" w:tplc="89C615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212FB9"/>
    <w:multiLevelType w:val="hybridMultilevel"/>
    <w:tmpl w:val="00308A0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F71EB"/>
    <w:multiLevelType w:val="hybridMultilevel"/>
    <w:tmpl w:val="04FEF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8313E2"/>
    <w:multiLevelType w:val="hybridMultilevel"/>
    <w:tmpl w:val="FE1655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040619"/>
    <w:multiLevelType w:val="hybridMultilevel"/>
    <w:tmpl w:val="38DA7A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1F42D9"/>
    <w:multiLevelType w:val="hybridMultilevel"/>
    <w:tmpl w:val="5EFE9D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1"/>
  </w:num>
  <w:num w:numId="5">
    <w:abstractNumId w:val="11"/>
  </w:num>
  <w:num w:numId="6">
    <w:abstractNumId w:val="6"/>
  </w:num>
  <w:num w:numId="7">
    <w:abstractNumId w:val="0"/>
  </w:num>
  <w:num w:numId="8">
    <w:abstractNumId w:val="4"/>
  </w:num>
  <w:num w:numId="9">
    <w:abstractNumId w:val="20"/>
  </w:num>
  <w:num w:numId="10">
    <w:abstractNumId w:val="12"/>
  </w:num>
  <w:num w:numId="11">
    <w:abstractNumId w:val="13"/>
  </w:num>
  <w:num w:numId="12">
    <w:abstractNumId w:val="15"/>
  </w:num>
  <w:num w:numId="13">
    <w:abstractNumId w:val="9"/>
  </w:num>
  <w:num w:numId="14">
    <w:abstractNumId w:val="8"/>
  </w:num>
  <w:num w:numId="15">
    <w:abstractNumId w:val="2"/>
  </w:num>
  <w:num w:numId="16">
    <w:abstractNumId w:val="19"/>
  </w:num>
  <w:num w:numId="17">
    <w:abstractNumId w:val="7"/>
  </w:num>
  <w:num w:numId="18">
    <w:abstractNumId w:val="14"/>
  </w:num>
  <w:num w:numId="19">
    <w:abstractNumId w:val="3"/>
  </w:num>
  <w:num w:numId="20">
    <w:abstractNumId w:val="21"/>
  </w:num>
  <w:num w:numId="21">
    <w:abstractNumId w:val="22"/>
  </w:num>
  <w:num w:numId="22">
    <w:abstractNumId w:val="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3238AD"/>
    <w:rsid w:val="00003BF1"/>
    <w:rsid w:val="00015B88"/>
    <w:rsid w:val="00025322"/>
    <w:rsid w:val="00025D76"/>
    <w:rsid w:val="00032E1F"/>
    <w:rsid w:val="00043BA2"/>
    <w:rsid w:val="0004616C"/>
    <w:rsid w:val="00052CCA"/>
    <w:rsid w:val="000552A1"/>
    <w:rsid w:val="0007002F"/>
    <w:rsid w:val="000816FB"/>
    <w:rsid w:val="00085D97"/>
    <w:rsid w:val="0009355F"/>
    <w:rsid w:val="00097BA7"/>
    <w:rsid w:val="000C37EA"/>
    <w:rsid w:val="000C62DC"/>
    <w:rsid w:val="000F01CA"/>
    <w:rsid w:val="00102C22"/>
    <w:rsid w:val="0010585C"/>
    <w:rsid w:val="0010777F"/>
    <w:rsid w:val="00121582"/>
    <w:rsid w:val="00133164"/>
    <w:rsid w:val="00155106"/>
    <w:rsid w:val="00165443"/>
    <w:rsid w:val="00183593"/>
    <w:rsid w:val="001844C3"/>
    <w:rsid w:val="001B725A"/>
    <w:rsid w:val="001D440F"/>
    <w:rsid w:val="001D5C6D"/>
    <w:rsid w:val="001F2FE6"/>
    <w:rsid w:val="001F6CB2"/>
    <w:rsid w:val="002019FE"/>
    <w:rsid w:val="00210B64"/>
    <w:rsid w:val="0022169A"/>
    <w:rsid w:val="00222024"/>
    <w:rsid w:val="00283A7E"/>
    <w:rsid w:val="002B52BD"/>
    <w:rsid w:val="002C330C"/>
    <w:rsid w:val="002E53C9"/>
    <w:rsid w:val="003238AD"/>
    <w:rsid w:val="00341564"/>
    <w:rsid w:val="00382EB4"/>
    <w:rsid w:val="00386974"/>
    <w:rsid w:val="003A0D7C"/>
    <w:rsid w:val="003B0F8C"/>
    <w:rsid w:val="003D149B"/>
    <w:rsid w:val="003F0C97"/>
    <w:rsid w:val="003F4716"/>
    <w:rsid w:val="004236F5"/>
    <w:rsid w:val="004416A4"/>
    <w:rsid w:val="00446FF7"/>
    <w:rsid w:val="004478C3"/>
    <w:rsid w:val="004912F6"/>
    <w:rsid w:val="004B3E81"/>
    <w:rsid w:val="004B4EB3"/>
    <w:rsid w:val="004C6E25"/>
    <w:rsid w:val="004D3627"/>
    <w:rsid w:val="00516BAA"/>
    <w:rsid w:val="00521A40"/>
    <w:rsid w:val="00532655"/>
    <w:rsid w:val="005420C3"/>
    <w:rsid w:val="00553EED"/>
    <w:rsid w:val="005573AF"/>
    <w:rsid w:val="00561289"/>
    <w:rsid w:val="00580A5C"/>
    <w:rsid w:val="005B13AD"/>
    <w:rsid w:val="005C225D"/>
    <w:rsid w:val="005C61CD"/>
    <w:rsid w:val="005D055C"/>
    <w:rsid w:val="005D3B44"/>
    <w:rsid w:val="00603C34"/>
    <w:rsid w:val="006507A0"/>
    <w:rsid w:val="00653552"/>
    <w:rsid w:val="0066661E"/>
    <w:rsid w:val="006A1308"/>
    <w:rsid w:val="006A66EA"/>
    <w:rsid w:val="006A6A17"/>
    <w:rsid w:val="006C3F4A"/>
    <w:rsid w:val="00700DB8"/>
    <w:rsid w:val="00716B18"/>
    <w:rsid w:val="007404F3"/>
    <w:rsid w:val="00755290"/>
    <w:rsid w:val="00764C25"/>
    <w:rsid w:val="00772633"/>
    <w:rsid w:val="007971EE"/>
    <w:rsid w:val="007A0119"/>
    <w:rsid w:val="007A1F67"/>
    <w:rsid w:val="007A59C0"/>
    <w:rsid w:val="007D2DB6"/>
    <w:rsid w:val="008000F8"/>
    <w:rsid w:val="00807352"/>
    <w:rsid w:val="00812499"/>
    <w:rsid w:val="008314E8"/>
    <w:rsid w:val="0084082D"/>
    <w:rsid w:val="00851A9E"/>
    <w:rsid w:val="00851FF4"/>
    <w:rsid w:val="008623F3"/>
    <w:rsid w:val="00864A98"/>
    <w:rsid w:val="00865C94"/>
    <w:rsid w:val="00882B4F"/>
    <w:rsid w:val="0088678F"/>
    <w:rsid w:val="00895108"/>
    <w:rsid w:val="008979ED"/>
    <w:rsid w:val="008A0BCA"/>
    <w:rsid w:val="008D3166"/>
    <w:rsid w:val="00916383"/>
    <w:rsid w:val="0093071E"/>
    <w:rsid w:val="00932A34"/>
    <w:rsid w:val="009543AA"/>
    <w:rsid w:val="00954FFF"/>
    <w:rsid w:val="009822E3"/>
    <w:rsid w:val="009874BC"/>
    <w:rsid w:val="0099068D"/>
    <w:rsid w:val="0099460B"/>
    <w:rsid w:val="009C6896"/>
    <w:rsid w:val="009F10DD"/>
    <w:rsid w:val="009F7C95"/>
    <w:rsid w:val="00A206AF"/>
    <w:rsid w:val="00A42F0B"/>
    <w:rsid w:val="00A47E21"/>
    <w:rsid w:val="00A52A1C"/>
    <w:rsid w:val="00A52CEC"/>
    <w:rsid w:val="00A745F3"/>
    <w:rsid w:val="00A75678"/>
    <w:rsid w:val="00A977CA"/>
    <w:rsid w:val="00AB18B7"/>
    <w:rsid w:val="00AC27B7"/>
    <w:rsid w:val="00AD2086"/>
    <w:rsid w:val="00AE0EAA"/>
    <w:rsid w:val="00B05812"/>
    <w:rsid w:val="00B20796"/>
    <w:rsid w:val="00B249C1"/>
    <w:rsid w:val="00B30240"/>
    <w:rsid w:val="00B404D9"/>
    <w:rsid w:val="00B44B91"/>
    <w:rsid w:val="00B44D79"/>
    <w:rsid w:val="00B46392"/>
    <w:rsid w:val="00B510F0"/>
    <w:rsid w:val="00B52EEB"/>
    <w:rsid w:val="00B71BF6"/>
    <w:rsid w:val="00B92ED3"/>
    <w:rsid w:val="00BB0368"/>
    <w:rsid w:val="00BD789C"/>
    <w:rsid w:val="00C1418A"/>
    <w:rsid w:val="00C23DE7"/>
    <w:rsid w:val="00C36B9C"/>
    <w:rsid w:val="00C42823"/>
    <w:rsid w:val="00C52950"/>
    <w:rsid w:val="00C80D1B"/>
    <w:rsid w:val="00C86AF3"/>
    <w:rsid w:val="00C97373"/>
    <w:rsid w:val="00CC356C"/>
    <w:rsid w:val="00D10B15"/>
    <w:rsid w:val="00D24A92"/>
    <w:rsid w:val="00D43884"/>
    <w:rsid w:val="00D43B2F"/>
    <w:rsid w:val="00D46288"/>
    <w:rsid w:val="00D547AD"/>
    <w:rsid w:val="00D55AE4"/>
    <w:rsid w:val="00D56E92"/>
    <w:rsid w:val="00D61244"/>
    <w:rsid w:val="00D90F88"/>
    <w:rsid w:val="00D9208F"/>
    <w:rsid w:val="00DA5DCC"/>
    <w:rsid w:val="00DB5CB9"/>
    <w:rsid w:val="00DD2B57"/>
    <w:rsid w:val="00DF6214"/>
    <w:rsid w:val="00E32394"/>
    <w:rsid w:val="00E62736"/>
    <w:rsid w:val="00E806D1"/>
    <w:rsid w:val="00E80876"/>
    <w:rsid w:val="00E9485A"/>
    <w:rsid w:val="00ED17E1"/>
    <w:rsid w:val="00EF6B83"/>
    <w:rsid w:val="00F126BD"/>
    <w:rsid w:val="00F14DA2"/>
    <w:rsid w:val="00F165D9"/>
    <w:rsid w:val="00F32420"/>
    <w:rsid w:val="00F32F13"/>
    <w:rsid w:val="00F40359"/>
    <w:rsid w:val="00F41383"/>
    <w:rsid w:val="00F42D04"/>
    <w:rsid w:val="00F47FBC"/>
    <w:rsid w:val="00F54E45"/>
    <w:rsid w:val="00F8172A"/>
    <w:rsid w:val="00F86758"/>
    <w:rsid w:val="00F879C2"/>
    <w:rsid w:val="00FC0411"/>
    <w:rsid w:val="00FD28CA"/>
    <w:rsid w:val="00FD3D3D"/>
    <w:rsid w:val="00FE3BFA"/>
    <w:rsid w:val="00FE68FE"/>
    <w:rsid w:val="00FF19E6"/>
    <w:rsid w:val="00FF776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75"/>
  </w:style>
  <w:style w:type="paragraph" w:styleId="Titre1">
    <w:name w:val="heading 1"/>
    <w:basedOn w:val="Normal"/>
    <w:next w:val="Normal"/>
    <w:link w:val="Titre1Car"/>
    <w:uiPriority w:val="9"/>
    <w:qFormat/>
    <w:rsid w:val="00F47F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47F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47F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47F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478C3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71BF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1BF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D3B44"/>
    <w:pPr>
      <w:spacing w:line="276" w:lineRule="auto"/>
      <w:ind w:left="720"/>
      <w:contextualSpacing/>
    </w:pPr>
    <w:rPr>
      <w:sz w:val="22"/>
      <w:szCs w:val="22"/>
    </w:rPr>
  </w:style>
  <w:style w:type="paragraph" w:customStyle="1" w:styleId="Default">
    <w:name w:val="Default"/>
    <w:rsid w:val="00B20796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</w:rPr>
  </w:style>
  <w:style w:type="paragraph" w:styleId="En-tte">
    <w:name w:val="header"/>
    <w:basedOn w:val="Normal"/>
    <w:link w:val="En-tteCar"/>
    <w:uiPriority w:val="99"/>
    <w:unhideWhenUsed/>
    <w:rsid w:val="00102C22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102C22"/>
  </w:style>
  <w:style w:type="paragraph" w:styleId="Pieddepage">
    <w:name w:val="footer"/>
    <w:basedOn w:val="Normal"/>
    <w:link w:val="PieddepageCar"/>
    <w:uiPriority w:val="99"/>
    <w:unhideWhenUsed/>
    <w:rsid w:val="00102C22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102C22"/>
  </w:style>
  <w:style w:type="character" w:customStyle="1" w:styleId="Titre1Car">
    <w:name w:val="Titre 1 Car"/>
    <w:basedOn w:val="Policepardfaut"/>
    <w:link w:val="Titre1"/>
    <w:uiPriority w:val="9"/>
    <w:rsid w:val="00F47F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47F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47F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F47F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47FBC"/>
    <w:pPr>
      <w:spacing w:line="276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qFormat/>
    <w:rsid w:val="00F47FBC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F47FBC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qFormat/>
    <w:rsid w:val="00F47FBC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F47FBC"/>
    <w:rPr>
      <w:color w:val="0000FF" w:themeColor="hyperlink"/>
      <w:u w:val="single"/>
    </w:rPr>
  </w:style>
  <w:style w:type="paragraph" w:styleId="TM4">
    <w:name w:val="toc 4"/>
    <w:basedOn w:val="Normal"/>
    <w:next w:val="Normal"/>
    <w:autoRedefine/>
    <w:uiPriority w:val="39"/>
    <w:unhideWhenUsed/>
    <w:rsid w:val="003F4716"/>
    <w:pPr>
      <w:spacing w:after="100"/>
      <w:ind w:left="72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25322"/>
    <w:pPr>
      <w:spacing w:after="100"/>
      <w:ind w:left="960"/>
    </w:pPr>
    <w:rPr>
      <w:rFonts w:eastAsiaTheme="minorEastAsia"/>
      <w:lang w:val="en-US" w:eastAsia="fr-FR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025322"/>
    <w:pPr>
      <w:spacing w:after="100"/>
      <w:ind w:left="1200"/>
    </w:pPr>
    <w:rPr>
      <w:rFonts w:eastAsiaTheme="minorEastAsia"/>
      <w:lang w:val="en-US" w:eastAsia="fr-FR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025322"/>
    <w:pPr>
      <w:spacing w:after="100"/>
      <w:ind w:left="1440"/>
    </w:pPr>
    <w:rPr>
      <w:rFonts w:eastAsiaTheme="minorEastAsia"/>
      <w:lang w:val="en-US" w:eastAsia="fr-FR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025322"/>
    <w:pPr>
      <w:spacing w:after="100"/>
      <w:ind w:left="1680"/>
    </w:pPr>
    <w:rPr>
      <w:rFonts w:eastAsiaTheme="minorEastAsia"/>
      <w:lang w:val="en-US" w:eastAsia="fr-FR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025322"/>
    <w:pPr>
      <w:spacing w:after="100"/>
      <w:ind w:left="1920"/>
    </w:pPr>
    <w:rPr>
      <w:rFonts w:eastAsiaTheme="minorEastAsia"/>
      <w:lang w:val="en-US" w:eastAsia="fr-FR"/>
    </w:rPr>
  </w:style>
  <w:style w:type="character" w:customStyle="1" w:styleId="lang-grc">
    <w:name w:val="lang-grc"/>
    <w:basedOn w:val="Policepardfaut"/>
    <w:rsid w:val="00C23DE7"/>
  </w:style>
  <w:style w:type="character" w:customStyle="1" w:styleId="testohome">
    <w:name w:val="testohome"/>
    <w:basedOn w:val="Policepardfaut"/>
    <w:rsid w:val="00C23DE7"/>
  </w:style>
  <w:style w:type="character" w:customStyle="1" w:styleId="Titre5Car">
    <w:name w:val="Titre 5 Car"/>
    <w:basedOn w:val="Policepardfaut"/>
    <w:link w:val="Titre5"/>
    <w:uiPriority w:val="9"/>
    <w:rsid w:val="004478C3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478C3"/>
    <w:pPr>
      <w:spacing w:after="0"/>
    </w:pPr>
    <w:rPr>
      <w:rFonts w:eastAsiaTheme="minorEastAsi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478C3"/>
    <w:rPr>
      <w:rFonts w:eastAsiaTheme="minorEastAsia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4478C3"/>
    <w:rPr>
      <w:vertAlign w:val="superscript"/>
    </w:rPr>
  </w:style>
  <w:style w:type="table" w:styleId="Grilledutableau">
    <w:name w:val="Table Grid"/>
    <w:basedOn w:val="TableauNormal"/>
    <w:uiPriority w:val="59"/>
    <w:rsid w:val="004478C3"/>
    <w:pPr>
      <w:spacing w:after="0"/>
    </w:pPr>
    <w:rPr>
      <w:rFonts w:eastAsiaTheme="minorEastAsia"/>
      <w:sz w:val="22"/>
      <w:szCs w:val="22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ottotitololabel">
    <w:name w:val="sottotitololabel"/>
    <w:basedOn w:val="Policepardfaut"/>
    <w:rsid w:val="004478C3"/>
  </w:style>
  <w:style w:type="character" w:styleId="Textedelespacerserv">
    <w:name w:val="Placeholder Text"/>
    <w:basedOn w:val="Policepardfaut"/>
    <w:uiPriority w:val="99"/>
    <w:semiHidden/>
    <w:rsid w:val="004478C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478C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shorttext">
    <w:name w:val="short_text"/>
    <w:basedOn w:val="Policepardfaut"/>
    <w:rsid w:val="004478C3"/>
  </w:style>
  <w:style w:type="character" w:customStyle="1" w:styleId="hps">
    <w:name w:val="hps"/>
    <w:basedOn w:val="Policepardfaut"/>
    <w:rsid w:val="004478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D8F50-3896-4F92-B810-317626D96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eux lui</dc:creator>
  <cp:lastModifiedBy>BA7</cp:lastModifiedBy>
  <cp:revision>9</cp:revision>
  <dcterms:created xsi:type="dcterms:W3CDTF">2012-06-06T18:24:00Z</dcterms:created>
  <dcterms:modified xsi:type="dcterms:W3CDTF">2012-06-13T07:34:00Z</dcterms:modified>
</cp:coreProperties>
</file>